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634F" w14:textId="77777777" w:rsidR="00311DDF" w:rsidRPr="00311DDF" w:rsidRDefault="00311DDF" w:rsidP="00311DDF">
      <w:pPr>
        <w:pStyle w:val="a7"/>
        <w:shd w:val="clear" w:color="auto" w:fill="FFFFFF"/>
        <w:spacing w:before="0" w:beforeAutospacing="0" w:after="0" w:afterAutospacing="0"/>
        <w:jc w:val="center"/>
        <w:rPr>
          <w:b/>
          <w:sz w:val="28"/>
          <w:szCs w:val="28"/>
          <w:lang w:val="uk-UA"/>
        </w:rPr>
      </w:pPr>
      <w:r w:rsidRPr="00311DDF">
        <w:rPr>
          <w:b/>
          <w:sz w:val="28"/>
          <w:szCs w:val="28"/>
          <w:lang w:val="uk-UA"/>
        </w:rPr>
        <w:t xml:space="preserve">Комерційна пропозиція «ТВІЙ </w:t>
      </w:r>
      <w:r w:rsidR="00D84316">
        <w:rPr>
          <w:b/>
          <w:sz w:val="28"/>
          <w:szCs w:val="28"/>
          <w:lang w:val="uk-UA"/>
        </w:rPr>
        <w:t xml:space="preserve">ГАЗ </w:t>
      </w:r>
      <w:r>
        <w:rPr>
          <w:b/>
          <w:sz w:val="28"/>
          <w:szCs w:val="28"/>
          <w:lang w:val="uk-UA"/>
        </w:rPr>
        <w:t>РІЧНИЙ</w:t>
      </w:r>
      <w:r w:rsidRPr="00311DDF">
        <w:rPr>
          <w:b/>
          <w:sz w:val="28"/>
          <w:szCs w:val="28"/>
          <w:lang w:val="uk-UA"/>
        </w:rPr>
        <w:t>»</w:t>
      </w:r>
    </w:p>
    <w:p w14:paraId="74D1843E" w14:textId="77777777" w:rsidR="00311DDF" w:rsidRPr="00F6791C" w:rsidRDefault="00311DDF" w:rsidP="00311DDF">
      <w:pPr>
        <w:jc w:val="center"/>
        <w:rPr>
          <w:b/>
          <w:bCs/>
          <w:sz w:val="28"/>
          <w:szCs w:val="28"/>
        </w:rPr>
      </w:pPr>
      <w:r>
        <w:rPr>
          <w:b/>
          <w:bCs/>
          <w:sz w:val="28"/>
          <w:szCs w:val="28"/>
        </w:rPr>
        <w:t>(</w:t>
      </w:r>
      <w:r w:rsidRPr="00F6791C">
        <w:rPr>
          <w:b/>
          <w:bCs/>
          <w:sz w:val="28"/>
          <w:szCs w:val="28"/>
        </w:rPr>
        <w:t>Базова річна пропозиція</w:t>
      </w:r>
      <w:r>
        <w:rPr>
          <w:b/>
          <w:bCs/>
          <w:sz w:val="28"/>
          <w:szCs w:val="28"/>
        </w:rPr>
        <w:t>)</w:t>
      </w:r>
    </w:p>
    <w:p w14:paraId="24CB47B8" w14:textId="63EAA7E9" w:rsidR="00311DDF" w:rsidRPr="00F6791C" w:rsidRDefault="00311DDF" w:rsidP="00311DDF">
      <w:pPr>
        <w:jc w:val="center"/>
      </w:pPr>
      <w:r w:rsidRPr="00F6791C">
        <w:rPr>
          <w:b/>
          <w:bCs/>
          <w:sz w:val="28"/>
          <w:szCs w:val="28"/>
        </w:rPr>
        <w:t>Постачальника ТОВ «</w:t>
      </w:r>
      <w:r w:rsidR="00660533">
        <w:rPr>
          <w:b/>
          <w:bCs/>
          <w:sz w:val="28"/>
          <w:szCs w:val="28"/>
        </w:rPr>
        <w:t>ТВІЙ ГАЗЗБУТ</w:t>
      </w:r>
      <w:r w:rsidRPr="00F6791C">
        <w:rPr>
          <w:b/>
          <w:bCs/>
          <w:sz w:val="28"/>
          <w:szCs w:val="28"/>
        </w:rPr>
        <w:t>» (далі – Постачальник)</w:t>
      </w:r>
      <w:r w:rsidRPr="00F6791C">
        <w:t xml:space="preserve"> </w:t>
      </w:r>
    </w:p>
    <w:p w14:paraId="258B27CD" w14:textId="77777777" w:rsidR="00311DDF" w:rsidRPr="00F6791C" w:rsidRDefault="00311DDF" w:rsidP="00311DDF">
      <w:pPr>
        <w:jc w:val="center"/>
        <w:rPr>
          <w:b/>
          <w:bCs/>
          <w:sz w:val="28"/>
          <w:szCs w:val="28"/>
        </w:rPr>
      </w:pPr>
      <w:r w:rsidRPr="00F6791C">
        <w:rPr>
          <w:b/>
          <w:bCs/>
          <w:sz w:val="28"/>
          <w:szCs w:val="28"/>
        </w:rPr>
        <w:t xml:space="preserve">від </w:t>
      </w:r>
      <w:r w:rsidR="00D84316">
        <w:rPr>
          <w:b/>
          <w:bCs/>
          <w:sz w:val="28"/>
          <w:szCs w:val="28"/>
        </w:rPr>
        <w:t>24</w:t>
      </w:r>
      <w:r w:rsidRPr="00F6791C">
        <w:rPr>
          <w:b/>
          <w:bCs/>
          <w:sz w:val="28"/>
          <w:szCs w:val="28"/>
        </w:rPr>
        <w:t>.04.2021 р.</w:t>
      </w:r>
    </w:p>
    <w:p w14:paraId="6682A1A9" w14:textId="77777777" w:rsidR="00311DDF" w:rsidRPr="00F6791C" w:rsidRDefault="00311DDF" w:rsidP="00311DDF">
      <w:pPr>
        <w:jc w:val="center"/>
        <w:rPr>
          <w:b/>
          <w:bCs/>
          <w:sz w:val="28"/>
          <w:szCs w:val="28"/>
        </w:rPr>
      </w:pPr>
    </w:p>
    <w:p w14:paraId="3C80C775" w14:textId="38962D3C" w:rsidR="00311DDF" w:rsidRPr="00F6791C" w:rsidRDefault="00311DDF" w:rsidP="00311DDF">
      <w:pPr>
        <w:pStyle w:val="a7"/>
        <w:shd w:val="clear" w:color="auto" w:fill="FFFFFF"/>
        <w:spacing w:before="120" w:beforeAutospacing="0" w:after="120" w:afterAutospacing="0"/>
        <w:jc w:val="both"/>
        <w:rPr>
          <w:sz w:val="28"/>
          <w:szCs w:val="28"/>
          <w:lang w:val="uk-UA"/>
        </w:rPr>
      </w:pPr>
      <w:r w:rsidRPr="00F6791C">
        <w:rPr>
          <w:sz w:val="28"/>
          <w:szCs w:val="28"/>
          <w:lang w:val="uk-UA"/>
        </w:rPr>
        <w:t xml:space="preserve">1. Умови базової річної пропозиції Постачальника складаються з обов’язкових умов, прямо передбачених Типовим договором постачання природного газу побутовим споживачам, що розміщений на офіційному веб-сайті НКРЕКП та Постачальника за такою </w:t>
      </w:r>
      <w:proofErr w:type="spellStart"/>
      <w:r w:rsidRPr="00F6791C">
        <w:rPr>
          <w:sz w:val="28"/>
          <w:szCs w:val="28"/>
          <w:lang w:val="uk-UA"/>
        </w:rPr>
        <w:t>адресою</w:t>
      </w:r>
      <w:proofErr w:type="spellEnd"/>
      <w:r w:rsidRPr="00F6791C">
        <w:rPr>
          <w:sz w:val="28"/>
          <w:szCs w:val="28"/>
          <w:lang w:val="uk-UA"/>
        </w:rPr>
        <w:t xml:space="preserve"> </w:t>
      </w:r>
      <w:r w:rsidRPr="00660533">
        <w:rPr>
          <w:sz w:val="28"/>
          <w:szCs w:val="28"/>
          <w:lang w:val="uk-UA"/>
        </w:rPr>
        <w:t>(</w:t>
      </w:r>
      <w:r w:rsidRPr="00F6791C">
        <w:rPr>
          <w:sz w:val="28"/>
          <w:szCs w:val="28"/>
          <w:lang w:val="en-US"/>
        </w:rPr>
        <w:t>URL</w:t>
      </w:r>
      <w:r w:rsidRPr="00660533">
        <w:rPr>
          <w:sz w:val="28"/>
          <w:szCs w:val="28"/>
          <w:lang w:val="uk-UA"/>
        </w:rPr>
        <w:t>)</w:t>
      </w:r>
      <w:r w:rsidRPr="00F6791C">
        <w:rPr>
          <w:sz w:val="28"/>
          <w:szCs w:val="28"/>
          <w:lang w:val="uk-UA"/>
        </w:rPr>
        <w:t xml:space="preserve">: </w:t>
      </w:r>
      <w:hyperlink r:id="rId7" w:history="1">
        <w:r w:rsidR="00660533" w:rsidRPr="00131E6D">
          <w:rPr>
            <w:rStyle w:val="af4"/>
            <w:sz w:val="28"/>
            <w:szCs w:val="28"/>
            <w:lang w:val="uk-UA"/>
          </w:rPr>
          <w:t>https://tg.gaszbut.com.ua/</w:t>
        </w:r>
      </w:hyperlink>
      <w:r w:rsidR="00D84316">
        <w:rPr>
          <w:sz w:val="28"/>
          <w:szCs w:val="28"/>
          <w:lang w:val="uk-UA"/>
        </w:rPr>
        <w:t>.</w:t>
      </w:r>
      <w:r w:rsidRPr="00F6791C">
        <w:rPr>
          <w:sz w:val="28"/>
          <w:szCs w:val="28"/>
          <w:lang w:val="uk-UA"/>
        </w:rPr>
        <w:t xml:space="preserve"> </w:t>
      </w:r>
    </w:p>
    <w:p w14:paraId="33709F08" w14:textId="77777777" w:rsidR="00311DDF" w:rsidRPr="00F6791C" w:rsidRDefault="00311DDF" w:rsidP="00311DDF">
      <w:pPr>
        <w:pStyle w:val="a7"/>
        <w:shd w:val="clear" w:color="auto" w:fill="FFFFFF"/>
        <w:spacing w:before="120" w:beforeAutospacing="0" w:after="120" w:afterAutospacing="0"/>
        <w:jc w:val="both"/>
        <w:rPr>
          <w:sz w:val="28"/>
          <w:szCs w:val="28"/>
          <w:lang w:val="uk-UA"/>
        </w:rPr>
      </w:pPr>
      <w:r w:rsidRPr="00F6791C">
        <w:rPr>
          <w:sz w:val="28"/>
          <w:szCs w:val="28"/>
          <w:lang w:val="uk-UA"/>
        </w:rPr>
        <w:t>Постачальник не має права змінити або припинити обов’язкові умови</w:t>
      </w:r>
      <w:r w:rsidRPr="00F6791C">
        <w:rPr>
          <w:lang w:val="uk-UA"/>
        </w:rPr>
        <w:t xml:space="preserve"> </w:t>
      </w:r>
      <w:r w:rsidRPr="00F6791C">
        <w:rPr>
          <w:sz w:val="28"/>
          <w:szCs w:val="28"/>
          <w:lang w:val="uk-UA"/>
        </w:rPr>
        <w:t>базової річної пропозиції. Не вважається зміною умов комерційної пропозиції зміна ціни на природний газ у строки, визначені Правилами постачання</w:t>
      </w:r>
      <w:r w:rsidRPr="00F6791C">
        <w:rPr>
          <w:sz w:val="28"/>
          <w:szCs w:val="28"/>
        </w:rPr>
        <w:t xml:space="preserve"> природного газу</w:t>
      </w:r>
      <w:r w:rsidRPr="00F6791C">
        <w:rPr>
          <w:sz w:val="28"/>
          <w:szCs w:val="28"/>
          <w:lang w:val="uk-UA"/>
        </w:rPr>
        <w:t>.</w:t>
      </w:r>
    </w:p>
    <w:p w14:paraId="0291D359" w14:textId="77777777" w:rsidR="00311DDF" w:rsidRPr="00F6791C" w:rsidRDefault="00311DDF" w:rsidP="00311DDF">
      <w:pPr>
        <w:pStyle w:val="a7"/>
        <w:shd w:val="clear" w:color="auto" w:fill="FFFFFF"/>
        <w:spacing w:before="120" w:beforeAutospacing="0" w:after="120" w:afterAutospacing="0"/>
        <w:jc w:val="both"/>
        <w:rPr>
          <w:sz w:val="28"/>
          <w:szCs w:val="28"/>
          <w:lang w:val="uk-UA"/>
        </w:rPr>
      </w:pPr>
      <w:r w:rsidRPr="00F6791C">
        <w:rPr>
          <w:sz w:val="28"/>
          <w:szCs w:val="28"/>
          <w:lang w:val="uk-UA"/>
        </w:rPr>
        <w:t xml:space="preserve">2. З 01 травня 2021 р. постачання природного газу побутовим споживачам Постачальника на умовах базової річної пропозиції здійснюється за ціною, що становить </w:t>
      </w:r>
      <w:r w:rsidR="00D84316">
        <w:rPr>
          <w:sz w:val="28"/>
          <w:szCs w:val="28"/>
          <w:lang w:val="uk-UA"/>
        </w:rPr>
        <w:t xml:space="preserve">6,66 </w:t>
      </w:r>
      <w:r w:rsidRPr="00F6791C">
        <w:rPr>
          <w:sz w:val="28"/>
          <w:szCs w:val="28"/>
          <w:lang w:val="uk-UA"/>
        </w:rPr>
        <w:t xml:space="preserve">грн. за метр кубічний, крім того ПДВ 20% – </w:t>
      </w:r>
      <w:r w:rsidR="00D84316">
        <w:rPr>
          <w:sz w:val="28"/>
          <w:szCs w:val="28"/>
          <w:lang w:val="uk-UA"/>
        </w:rPr>
        <w:t>1,33</w:t>
      </w:r>
      <w:r w:rsidRPr="00F6791C">
        <w:rPr>
          <w:sz w:val="28"/>
          <w:szCs w:val="28"/>
          <w:lang w:val="uk-UA"/>
        </w:rPr>
        <w:t xml:space="preserve"> грн., всього з ПДВ – </w:t>
      </w:r>
      <w:r w:rsidR="00D84316">
        <w:rPr>
          <w:sz w:val="28"/>
          <w:szCs w:val="28"/>
          <w:lang w:val="uk-UA"/>
        </w:rPr>
        <w:t xml:space="preserve">7,99 </w:t>
      </w:r>
      <w:r w:rsidRPr="00F6791C">
        <w:rPr>
          <w:sz w:val="28"/>
          <w:szCs w:val="28"/>
          <w:lang w:val="uk-UA"/>
        </w:rPr>
        <w:t>грн. за метр кубічний. Вказана ціна включає тариф на послуги транспортування природного газу для внутрішніх точок виходу з газотранспортної системи на регуляторний період 2020 – 2024 роки для ТОВ «ОПЕРАТОР ГАЗОТРАНСПОРТНОЇ СИСТЕМИ УКРАЇНИ».</w:t>
      </w:r>
    </w:p>
    <w:p w14:paraId="2F659DDA" w14:textId="77777777" w:rsidR="00311DDF" w:rsidRPr="00F6791C" w:rsidRDefault="00311DDF" w:rsidP="00311DDF">
      <w:pPr>
        <w:pStyle w:val="a7"/>
        <w:shd w:val="clear" w:color="auto" w:fill="FFFFFF"/>
        <w:spacing w:before="120" w:beforeAutospacing="0" w:after="120" w:afterAutospacing="0"/>
        <w:jc w:val="both"/>
        <w:rPr>
          <w:sz w:val="28"/>
          <w:szCs w:val="28"/>
          <w:lang w:val="uk-UA"/>
        </w:rPr>
      </w:pPr>
      <w:r w:rsidRPr="00F6791C">
        <w:rPr>
          <w:sz w:val="28"/>
          <w:szCs w:val="28"/>
          <w:lang w:val="uk-UA"/>
        </w:rPr>
        <w:t>Постачальник не має права протягом періоду дії базової річної пропозиції (з 01 травня по 30 квітня наступного року) збільшувати ціну природного газу, який постачається в рамках базової річної пропозиції.</w:t>
      </w:r>
    </w:p>
    <w:p w14:paraId="68658797" w14:textId="77777777" w:rsidR="00311DDF" w:rsidRPr="00F6791C" w:rsidRDefault="00311DDF" w:rsidP="00311DDF">
      <w:pPr>
        <w:pStyle w:val="a7"/>
        <w:shd w:val="clear" w:color="auto" w:fill="FFFFFF"/>
        <w:spacing w:before="120" w:beforeAutospacing="0" w:after="120" w:afterAutospacing="0"/>
        <w:jc w:val="both"/>
        <w:rPr>
          <w:sz w:val="28"/>
          <w:szCs w:val="28"/>
          <w:lang w:val="uk-UA"/>
        </w:rPr>
      </w:pPr>
      <w:r w:rsidRPr="00F6791C">
        <w:rPr>
          <w:sz w:val="28"/>
          <w:szCs w:val="28"/>
          <w:lang w:val="uk-UA"/>
        </w:rPr>
        <w:t xml:space="preserve">3. </w:t>
      </w:r>
      <w:r w:rsidRPr="00F6791C">
        <w:rPr>
          <w:sz w:val="28"/>
          <w:szCs w:val="28"/>
          <w:shd w:val="clear" w:color="auto" w:fill="FFFFFF"/>
        </w:rPr>
        <w:t>О</w:t>
      </w:r>
      <w:r w:rsidRPr="00F6791C">
        <w:rPr>
          <w:sz w:val="28"/>
          <w:szCs w:val="28"/>
          <w:shd w:val="clear" w:color="auto" w:fill="FFFFFF"/>
          <w:lang w:val="uk-UA"/>
        </w:rPr>
        <w:t>б'єм (обсяг) постачання та споживання природного газу</w:t>
      </w:r>
      <w:r w:rsidRPr="00F6791C">
        <w:rPr>
          <w:sz w:val="28"/>
          <w:szCs w:val="28"/>
        </w:rPr>
        <w:t xml:space="preserve"> </w:t>
      </w:r>
      <w:r w:rsidRPr="00F6791C">
        <w:rPr>
          <w:sz w:val="28"/>
          <w:szCs w:val="28"/>
          <w:lang w:val="uk-UA"/>
        </w:rPr>
        <w:t>на умовах базової річної пропозиції</w:t>
      </w:r>
      <w:r w:rsidRPr="00F6791C">
        <w:rPr>
          <w:sz w:val="28"/>
          <w:szCs w:val="28"/>
        </w:rPr>
        <w:t xml:space="preserve"> </w:t>
      </w:r>
      <w:r w:rsidRPr="00F6791C">
        <w:rPr>
          <w:sz w:val="28"/>
          <w:szCs w:val="28"/>
          <w:shd w:val="clear" w:color="auto" w:fill="FFFFFF"/>
          <w:lang w:val="uk-UA"/>
        </w:rPr>
        <w:t>визначається на підставі даних Оператора ГРМ, визначених за договором розподілу природного газу в розрахунковому періоді.</w:t>
      </w:r>
    </w:p>
    <w:p w14:paraId="1A0FA312" w14:textId="77777777" w:rsidR="00311DDF" w:rsidRPr="00F6791C" w:rsidRDefault="00311DDF" w:rsidP="00311DDF">
      <w:pPr>
        <w:spacing w:before="120" w:after="120"/>
        <w:jc w:val="both"/>
        <w:rPr>
          <w:sz w:val="28"/>
          <w:szCs w:val="28"/>
          <w:shd w:val="clear" w:color="auto" w:fill="FFFFFF"/>
        </w:rPr>
      </w:pPr>
      <w:r w:rsidRPr="00F6791C">
        <w:rPr>
          <w:sz w:val="28"/>
          <w:szCs w:val="28"/>
          <w:shd w:val="clear" w:color="auto" w:fill="FFFFFF"/>
        </w:rPr>
        <w:t>4. При здійсненні постачання природного газу в рамках базової річної пропозиції оплата рахунка (платіжного документа) Постачальника має бути здійснена не пізніше 25 числа місяця, наступного за розрахунковим. У разі отримання субсидії та/або пільг з оплати природного газу споживач вносить плату за природний газ в установленому законодавством порядку.</w:t>
      </w:r>
    </w:p>
    <w:p w14:paraId="64EF9CA3" w14:textId="77777777" w:rsidR="00311DDF" w:rsidRPr="00F6791C" w:rsidRDefault="00311DDF" w:rsidP="00311DDF">
      <w:pPr>
        <w:spacing w:before="120" w:after="120"/>
        <w:jc w:val="both"/>
        <w:rPr>
          <w:sz w:val="28"/>
          <w:szCs w:val="28"/>
          <w:shd w:val="clear" w:color="auto" w:fill="FFFFFF"/>
        </w:rPr>
      </w:pPr>
      <w:r w:rsidRPr="00F6791C">
        <w:rPr>
          <w:sz w:val="28"/>
          <w:szCs w:val="28"/>
          <w:shd w:val="clear" w:color="auto" w:fill="FFFFFF"/>
        </w:rPr>
        <w:t xml:space="preserve">Якщо споживач не здійснив оплату протягом 10 днів після встановленого строку, Постачальник має право здійснити заходи з припинення постачання природного газу споживачу у порядку, визначеному Правилами постачання. </w:t>
      </w:r>
    </w:p>
    <w:p w14:paraId="575914C5" w14:textId="77777777" w:rsidR="00311DDF" w:rsidRPr="00F6791C" w:rsidRDefault="00311DDF" w:rsidP="00311DDF">
      <w:pPr>
        <w:spacing w:before="120" w:after="120"/>
        <w:jc w:val="both"/>
        <w:rPr>
          <w:sz w:val="28"/>
          <w:szCs w:val="28"/>
          <w:shd w:val="clear" w:color="auto" w:fill="FFFFFF"/>
        </w:rPr>
      </w:pPr>
      <w:r w:rsidRPr="00F6791C">
        <w:rPr>
          <w:sz w:val="28"/>
          <w:szCs w:val="28"/>
          <w:shd w:val="clear" w:color="auto" w:fill="FFFFFF"/>
        </w:rPr>
        <w:t xml:space="preserve">У разі порушення споживачем строків оплати, споживач сплачує за вимогою Постачальника пеню в розмірі, визначеному Типовим договором </w:t>
      </w:r>
      <w:r w:rsidRPr="00F6791C">
        <w:rPr>
          <w:sz w:val="28"/>
          <w:szCs w:val="28"/>
        </w:rPr>
        <w:t>постачання природного газу побутовим споживачам</w:t>
      </w:r>
      <w:r w:rsidRPr="00F6791C">
        <w:rPr>
          <w:sz w:val="28"/>
          <w:szCs w:val="28"/>
          <w:shd w:val="clear" w:color="auto" w:fill="FFFFFF"/>
        </w:rPr>
        <w:t xml:space="preserve">. </w:t>
      </w:r>
    </w:p>
    <w:p w14:paraId="0F7EB790" w14:textId="77777777" w:rsidR="00311DDF" w:rsidRPr="00F6791C" w:rsidRDefault="00311DDF" w:rsidP="00311DDF">
      <w:pPr>
        <w:spacing w:before="120" w:after="120"/>
        <w:jc w:val="both"/>
        <w:rPr>
          <w:sz w:val="28"/>
          <w:szCs w:val="28"/>
        </w:rPr>
      </w:pPr>
      <w:r w:rsidRPr="00F6791C">
        <w:rPr>
          <w:sz w:val="28"/>
          <w:szCs w:val="28"/>
          <w:shd w:val="clear" w:color="auto" w:fill="FFFFFF"/>
        </w:rPr>
        <w:t xml:space="preserve">5. </w:t>
      </w:r>
      <w:r w:rsidRPr="00F6791C">
        <w:rPr>
          <w:sz w:val="28"/>
          <w:szCs w:val="28"/>
        </w:rPr>
        <w:t>З 01 травня 2021 р. постачання природного газу побутовим споживачам Постачальника здійснюється на умовах базової річної пропозиції відповідно до положень Правил постачання. Строк дії базової річної пропозиції не залежить від початку постачання природного газу побутовому споживачу та триває до 30 квітня наступного року, крім випадків зміни постачальника природного газу.</w:t>
      </w:r>
      <w:r w:rsidRPr="00F6791C">
        <w:t xml:space="preserve"> </w:t>
      </w:r>
    </w:p>
    <w:p w14:paraId="0B54DBAB" w14:textId="7B11C282" w:rsidR="00311DDF" w:rsidRPr="00DB302E" w:rsidRDefault="00311DDF" w:rsidP="00311DDF">
      <w:pPr>
        <w:pStyle w:val="a7"/>
        <w:shd w:val="clear" w:color="auto" w:fill="FFFFFF"/>
        <w:spacing w:before="120" w:beforeAutospacing="0" w:after="120" w:afterAutospacing="0"/>
        <w:jc w:val="both"/>
        <w:rPr>
          <w:sz w:val="28"/>
          <w:szCs w:val="28"/>
          <w:lang w:val="uk-UA"/>
        </w:rPr>
      </w:pPr>
      <w:r w:rsidRPr="00F6791C">
        <w:rPr>
          <w:sz w:val="28"/>
          <w:szCs w:val="28"/>
          <w:lang w:val="uk-UA"/>
        </w:rPr>
        <w:t>6. Побутовий споживач має право змінювати умови постачання шляхом обрання комерційної пропозиції Постачальника</w:t>
      </w:r>
      <w:r>
        <w:rPr>
          <w:sz w:val="28"/>
          <w:szCs w:val="28"/>
          <w:lang w:val="uk-UA"/>
        </w:rPr>
        <w:t xml:space="preserve"> не більше одного разу в календарний місяць</w:t>
      </w:r>
      <w:r w:rsidRPr="00F6791C">
        <w:rPr>
          <w:sz w:val="28"/>
          <w:szCs w:val="28"/>
          <w:lang w:val="uk-UA"/>
        </w:rPr>
        <w:t xml:space="preserve">. Для цього споживач повинен подати нову заяву-приєднання згідно з вимогами пункту 9 розділу ІІІ Правил постачання природного газу або зафіксувати свою згоду </w:t>
      </w:r>
      <w:r w:rsidRPr="00F6791C">
        <w:rPr>
          <w:sz w:val="28"/>
          <w:szCs w:val="28"/>
          <w:lang w:val="uk-UA"/>
        </w:rPr>
        <w:lastRenderedPageBreak/>
        <w:t xml:space="preserve">на зміну таких умов через особистий кабінет споживача, </w:t>
      </w:r>
      <w:proofErr w:type="spellStart"/>
      <w:r w:rsidRPr="00F6791C">
        <w:rPr>
          <w:sz w:val="28"/>
          <w:szCs w:val="28"/>
          <w:lang w:val="uk-UA"/>
        </w:rPr>
        <w:t>вебсайт</w:t>
      </w:r>
      <w:proofErr w:type="spellEnd"/>
      <w:r w:rsidRPr="00F6791C">
        <w:rPr>
          <w:sz w:val="28"/>
          <w:szCs w:val="28"/>
          <w:lang w:val="uk-UA"/>
        </w:rPr>
        <w:t xml:space="preserve"> Постачальника в мережі Інтернет за </w:t>
      </w:r>
      <w:proofErr w:type="spellStart"/>
      <w:r w:rsidRPr="00F6791C">
        <w:rPr>
          <w:sz w:val="28"/>
          <w:szCs w:val="28"/>
          <w:lang w:val="uk-UA"/>
        </w:rPr>
        <w:t>адресою</w:t>
      </w:r>
      <w:proofErr w:type="spellEnd"/>
      <w:r w:rsidRPr="00F6791C">
        <w:rPr>
          <w:sz w:val="28"/>
          <w:szCs w:val="28"/>
          <w:lang w:val="uk-UA"/>
        </w:rPr>
        <w:t xml:space="preserve"> </w:t>
      </w:r>
      <w:hyperlink r:id="rId8" w:history="1">
        <w:r w:rsidR="00660533" w:rsidRPr="00131E6D">
          <w:rPr>
            <w:rStyle w:val="af4"/>
            <w:sz w:val="28"/>
            <w:szCs w:val="28"/>
            <w:lang w:val="uk-UA"/>
          </w:rPr>
          <w:t>https://tg.gaszbut.com.ua/</w:t>
        </w:r>
      </w:hyperlink>
      <w:r w:rsidRPr="00F6791C">
        <w:rPr>
          <w:sz w:val="28"/>
          <w:szCs w:val="28"/>
          <w:lang w:val="uk-UA"/>
        </w:rPr>
        <w:t>, Контакт-центр за телефоном (</w:t>
      </w:r>
      <w:r w:rsidR="00D84316">
        <w:rPr>
          <w:sz w:val="28"/>
          <w:szCs w:val="28"/>
          <w:lang w:val="uk-UA"/>
        </w:rPr>
        <w:t>044</w:t>
      </w:r>
      <w:r w:rsidRPr="00F6791C">
        <w:rPr>
          <w:sz w:val="28"/>
          <w:szCs w:val="28"/>
          <w:lang w:val="uk-UA"/>
        </w:rPr>
        <w:t xml:space="preserve">) </w:t>
      </w:r>
      <w:r w:rsidR="00D84316" w:rsidRPr="00D84316">
        <w:rPr>
          <w:sz w:val="28"/>
          <w:szCs w:val="28"/>
          <w:lang w:val="uk-UA"/>
        </w:rPr>
        <w:t xml:space="preserve">364 25 </w:t>
      </w:r>
      <w:r w:rsidR="00660533">
        <w:rPr>
          <w:sz w:val="28"/>
          <w:szCs w:val="28"/>
          <w:lang w:val="uk-UA"/>
        </w:rPr>
        <w:t>31</w:t>
      </w:r>
      <w:r w:rsidRPr="00F6791C">
        <w:rPr>
          <w:sz w:val="28"/>
          <w:szCs w:val="28"/>
          <w:lang w:val="uk-UA"/>
        </w:rPr>
        <w:t>,</w:t>
      </w:r>
      <w:r w:rsidR="00D84316">
        <w:rPr>
          <w:sz w:val="28"/>
          <w:szCs w:val="28"/>
          <w:lang w:val="uk-UA"/>
        </w:rPr>
        <w:t xml:space="preserve"> </w:t>
      </w:r>
      <w:r w:rsidRPr="00F6791C">
        <w:rPr>
          <w:sz w:val="28"/>
          <w:szCs w:val="28"/>
          <w:lang w:val="uk-UA"/>
        </w:rPr>
        <w:t xml:space="preserve">мобільний додаток або в запропонований постачальником спосіб, який передбачає ідентифікацію споживача відповідно до законодавства про електронний документообіг та </w:t>
      </w:r>
      <w:r w:rsidRPr="00DB302E">
        <w:rPr>
          <w:sz w:val="28"/>
          <w:szCs w:val="28"/>
          <w:lang w:val="uk-UA"/>
        </w:rPr>
        <w:t>використання електронних документів.</w:t>
      </w:r>
    </w:p>
    <w:p w14:paraId="517BE61E" w14:textId="77777777" w:rsidR="00311DDF" w:rsidRPr="00DB302E" w:rsidRDefault="00311DDF" w:rsidP="00311DDF">
      <w:pPr>
        <w:pStyle w:val="a7"/>
        <w:shd w:val="clear" w:color="auto" w:fill="FFFFFF"/>
        <w:spacing w:before="120" w:beforeAutospacing="0" w:after="120" w:afterAutospacing="0"/>
        <w:jc w:val="both"/>
        <w:rPr>
          <w:sz w:val="28"/>
          <w:szCs w:val="28"/>
          <w:lang w:val="uk-UA"/>
        </w:rPr>
      </w:pPr>
      <w:r w:rsidRPr="00DB302E">
        <w:rPr>
          <w:sz w:val="28"/>
          <w:szCs w:val="28"/>
          <w:lang w:val="uk-UA"/>
        </w:rPr>
        <w:t>При цьому повторне подання документів, що є обов’язковими для укладання Типового договору постачання, не вимагається, крім випадків зміни власності на об'єкт постачання природного газу, приєднан</w:t>
      </w:r>
      <w:r>
        <w:rPr>
          <w:sz w:val="28"/>
          <w:szCs w:val="28"/>
          <w:lang w:val="uk-UA"/>
        </w:rPr>
        <w:t>ого</w:t>
      </w:r>
      <w:r w:rsidRPr="00DB302E">
        <w:rPr>
          <w:sz w:val="28"/>
          <w:szCs w:val="28"/>
          <w:lang w:val="uk-UA"/>
        </w:rPr>
        <w:t xml:space="preserve"> до газорозподільних систем Оператора ГРМ, або зміни персоніфікованих даних побутового споживача, або коли ці документи зазнали змін з часу надання першої, попередньої заяви-приєднання. </w:t>
      </w:r>
    </w:p>
    <w:p w14:paraId="1937F32E" w14:textId="77777777" w:rsidR="00311DDF" w:rsidRPr="00F6791C" w:rsidRDefault="00311DDF" w:rsidP="00311DDF">
      <w:pPr>
        <w:pStyle w:val="a7"/>
        <w:shd w:val="clear" w:color="auto" w:fill="FFFFFF"/>
        <w:spacing w:before="120" w:beforeAutospacing="0" w:after="120" w:afterAutospacing="0"/>
        <w:jc w:val="both"/>
        <w:rPr>
          <w:sz w:val="28"/>
          <w:szCs w:val="28"/>
          <w:highlight w:val="yellow"/>
          <w:lang w:val="uk-UA"/>
        </w:rPr>
      </w:pPr>
      <w:r w:rsidRPr="00F6791C">
        <w:rPr>
          <w:sz w:val="28"/>
          <w:szCs w:val="28"/>
          <w:lang w:val="uk-UA"/>
        </w:rPr>
        <w:t xml:space="preserve">Про дату, з якої здійснено перехід на будь-яку комерційну пропозицію, у </w:t>
      </w:r>
      <w:proofErr w:type="spellStart"/>
      <w:r w:rsidRPr="00F6791C">
        <w:rPr>
          <w:sz w:val="28"/>
          <w:szCs w:val="28"/>
          <w:lang w:val="uk-UA"/>
        </w:rPr>
        <w:t>т.ч</w:t>
      </w:r>
      <w:proofErr w:type="spellEnd"/>
      <w:r w:rsidRPr="00F6791C">
        <w:rPr>
          <w:sz w:val="28"/>
          <w:szCs w:val="28"/>
          <w:lang w:val="uk-UA"/>
        </w:rPr>
        <w:t>. базову річну пропозицію, Постачальник повідомляє споживача протягом 3 робочих днів з дати такого переходу.</w:t>
      </w:r>
    </w:p>
    <w:p w14:paraId="1278DCDE" w14:textId="77777777" w:rsidR="00311DDF" w:rsidRPr="00F6791C" w:rsidRDefault="00311DDF" w:rsidP="00311DDF">
      <w:pPr>
        <w:spacing w:before="120" w:after="120"/>
        <w:jc w:val="both"/>
        <w:rPr>
          <w:sz w:val="28"/>
          <w:szCs w:val="28"/>
          <w:shd w:val="clear" w:color="auto" w:fill="FFFFFF"/>
        </w:rPr>
      </w:pPr>
      <w:r w:rsidRPr="00F6791C">
        <w:rPr>
          <w:sz w:val="28"/>
          <w:szCs w:val="28"/>
          <w:shd w:val="clear" w:color="auto" w:fill="FFFFFF"/>
        </w:rPr>
        <w:t>У разі зміни базової річної пропозиції на іншу</w:t>
      </w:r>
      <w:r w:rsidRPr="00F6791C">
        <w:rPr>
          <w:sz w:val="28"/>
          <w:szCs w:val="28"/>
          <w:shd w:val="clear" w:color="auto" w:fill="FFFFFF"/>
          <w:lang w:val="ru-RU"/>
        </w:rPr>
        <w:t xml:space="preserve"> </w:t>
      </w:r>
      <w:r w:rsidRPr="00F6791C">
        <w:rPr>
          <w:sz w:val="28"/>
          <w:szCs w:val="28"/>
          <w:shd w:val="clear" w:color="auto" w:fill="FFFFFF"/>
        </w:rPr>
        <w:t>комерційну</w:t>
      </w:r>
      <w:r w:rsidRPr="00F6791C">
        <w:rPr>
          <w:sz w:val="28"/>
          <w:szCs w:val="28"/>
          <w:shd w:val="clear" w:color="auto" w:fill="FFFFFF"/>
          <w:lang w:val="ru-RU"/>
        </w:rPr>
        <w:t xml:space="preserve"> </w:t>
      </w:r>
      <w:r w:rsidRPr="00F6791C">
        <w:rPr>
          <w:sz w:val="28"/>
          <w:szCs w:val="28"/>
          <w:shd w:val="clear" w:color="auto" w:fill="FFFFFF"/>
        </w:rPr>
        <w:t>пропозицію</w:t>
      </w:r>
      <w:r w:rsidRPr="00F6791C">
        <w:rPr>
          <w:sz w:val="28"/>
          <w:szCs w:val="28"/>
          <w:shd w:val="clear" w:color="auto" w:fill="FFFFFF"/>
          <w:lang w:val="ru-RU"/>
        </w:rPr>
        <w:t xml:space="preserve"> </w:t>
      </w:r>
      <w:r w:rsidRPr="00F6791C">
        <w:rPr>
          <w:sz w:val="28"/>
          <w:szCs w:val="28"/>
          <w:shd w:val="clear" w:color="auto" w:fill="FFFFFF"/>
        </w:rPr>
        <w:t xml:space="preserve">Постачальника або у разі зміни </w:t>
      </w:r>
      <w:r w:rsidRPr="00F6791C">
        <w:rPr>
          <w:sz w:val="28"/>
          <w:szCs w:val="28"/>
          <w:shd w:val="clear" w:color="auto" w:fill="FFFFFF"/>
          <w:lang w:val="ru-RU"/>
        </w:rPr>
        <w:t>с</w:t>
      </w:r>
      <w:r w:rsidR="00D84316" w:rsidRPr="00F6791C">
        <w:rPr>
          <w:sz w:val="28"/>
          <w:szCs w:val="28"/>
          <w:shd w:val="clear" w:color="auto" w:fill="FFFFFF"/>
        </w:rPr>
        <w:t>споживачем</w:t>
      </w:r>
      <w:r w:rsidRPr="00F6791C">
        <w:rPr>
          <w:sz w:val="28"/>
          <w:szCs w:val="28"/>
          <w:shd w:val="clear" w:color="auto" w:fill="FFFFFF"/>
        </w:rPr>
        <w:t xml:space="preserve"> Постачальника</w:t>
      </w:r>
      <w:r w:rsidRPr="00F6791C">
        <w:rPr>
          <w:sz w:val="28"/>
          <w:szCs w:val="28"/>
          <w:shd w:val="clear" w:color="auto" w:fill="FFFFFF"/>
          <w:lang w:val="ru-RU"/>
        </w:rPr>
        <w:t xml:space="preserve">, </w:t>
      </w:r>
      <w:r w:rsidRPr="00F6791C">
        <w:rPr>
          <w:sz w:val="28"/>
          <w:szCs w:val="28"/>
          <w:shd w:val="clear" w:color="auto" w:fill="FFFFFF"/>
        </w:rPr>
        <w:t xml:space="preserve">Постачальник має право відмовити споживачу обрати базову річну пропозицію цього Постачальника в поточному році (з 01 травня по 30 квітня), про що </w:t>
      </w:r>
      <w:r w:rsidRPr="00F6791C">
        <w:rPr>
          <w:sz w:val="28"/>
          <w:szCs w:val="28"/>
        </w:rPr>
        <w:t>повідомляє споживача протягом 10 робочих днів з дня фіксації його згоди про перехід на таку комерційну пропозицію.</w:t>
      </w:r>
    </w:p>
    <w:p w14:paraId="41BDEA1E" w14:textId="77777777" w:rsidR="00311DDF" w:rsidRPr="00F6791C" w:rsidRDefault="00311DDF" w:rsidP="00311DDF">
      <w:pPr>
        <w:pStyle w:val="a7"/>
        <w:shd w:val="clear" w:color="auto" w:fill="FFFFFF"/>
        <w:spacing w:before="0" w:beforeAutospacing="0" w:after="0" w:afterAutospacing="0"/>
        <w:jc w:val="both"/>
        <w:rPr>
          <w:sz w:val="28"/>
          <w:szCs w:val="28"/>
          <w:lang w:val="uk-UA"/>
        </w:rPr>
      </w:pPr>
    </w:p>
    <w:p w14:paraId="2DCB66F4" w14:textId="77777777" w:rsidR="00311DDF" w:rsidRPr="00F6791C" w:rsidRDefault="00311DDF" w:rsidP="00311DDF">
      <w:pPr>
        <w:pStyle w:val="a7"/>
        <w:shd w:val="clear" w:color="auto" w:fill="FFFFFF"/>
        <w:spacing w:before="0" w:beforeAutospacing="0" w:after="0" w:afterAutospacing="0"/>
        <w:ind w:firstLine="490"/>
        <w:jc w:val="both"/>
        <w:rPr>
          <w:sz w:val="28"/>
          <w:szCs w:val="28"/>
          <w:lang w:val="uk-UA"/>
        </w:rPr>
      </w:pPr>
    </w:p>
    <w:p w14:paraId="6F396140" w14:textId="77777777" w:rsidR="00311DDF" w:rsidRPr="00F6791C" w:rsidRDefault="00311DDF" w:rsidP="00311DDF">
      <w:pPr>
        <w:pStyle w:val="a7"/>
        <w:shd w:val="clear" w:color="auto" w:fill="FFFFFF"/>
        <w:spacing w:before="0" w:beforeAutospacing="0" w:after="0" w:afterAutospacing="0"/>
        <w:ind w:firstLine="490"/>
        <w:jc w:val="both"/>
        <w:rPr>
          <w:sz w:val="28"/>
          <w:szCs w:val="28"/>
          <w:lang w:val="uk-UA"/>
        </w:rPr>
      </w:pPr>
    </w:p>
    <w:p w14:paraId="0754C073" w14:textId="77777777" w:rsidR="00311DDF" w:rsidRPr="00F6791C" w:rsidRDefault="00311DDF" w:rsidP="00D84316">
      <w:pPr>
        <w:pStyle w:val="a7"/>
        <w:shd w:val="clear" w:color="auto" w:fill="FFFFFF"/>
        <w:spacing w:before="0" w:beforeAutospacing="0" w:after="0" w:afterAutospacing="0"/>
        <w:jc w:val="both"/>
        <w:rPr>
          <w:b/>
          <w:bCs/>
          <w:sz w:val="28"/>
          <w:szCs w:val="28"/>
          <w:lang w:val="uk-UA"/>
        </w:rPr>
      </w:pPr>
      <w:r w:rsidRPr="00F6791C">
        <w:rPr>
          <w:b/>
          <w:bCs/>
          <w:sz w:val="28"/>
          <w:szCs w:val="28"/>
          <w:lang w:val="uk-UA"/>
        </w:rPr>
        <w:t>Інформація про Постачальника:</w:t>
      </w:r>
    </w:p>
    <w:p w14:paraId="569B28A6" w14:textId="77777777" w:rsidR="00660533" w:rsidRPr="00660533" w:rsidRDefault="00660533" w:rsidP="00660533">
      <w:pPr>
        <w:jc w:val="both"/>
        <w:rPr>
          <w:sz w:val="28"/>
          <w:szCs w:val="28"/>
          <w:lang w:eastAsia="ru-RU"/>
        </w:rPr>
      </w:pPr>
      <w:r w:rsidRPr="00660533">
        <w:rPr>
          <w:sz w:val="28"/>
          <w:szCs w:val="28"/>
          <w:lang w:eastAsia="ru-RU"/>
        </w:rPr>
        <w:t>ТОВ ТВІЙ ГАЗЗБУТ,</w:t>
      </w:r>
    </w:p>
    <w:p w14:paraId="19735840" w14:textId="77777777" w:rsidR="00660533" w:rsidRPr="00660533" w:rsidRDefault="00660533" w:rsidP="00660533">
      <w:pPr>
        <w:jc w:val="both"/>
        <w:rPr>
          <w:sz w:val="28"/>
          <w:szCs w:val="28"/>
          <w:lang w:eastAsia="ru-RU"/>
        </w:rPr>
      </w:pPr>
      <w:r w:rsidRPr="00660533">
        <w:rPr>
          <w:sz w:val="28"/>
          <w:szCs w:val="28"/>
          <w:lang w:eastAsia="ru-RU"/>
        </w:rPr>
        <w:t>ЄДРПОУ 43965848</w:t>
      </w:r>
    </w:p>
    <w:p w14:paraId="1A8799CA" w14:textId="77777777" w:rsidR="00660533" w:rsidRDefault="00660533" w:rsidP="00660533">
      <w:pPr>
        <w:jc w:val="both"/>
        <w:rPr>
          <w:sz w:val="28"/>
          <w:szCs w:val="28"/>
          <w:lang w:eastAsia="ru-RU"/>
        </w:rPr>
      </w:pPr>
      <w:r w:rsidRPr="00660533">
        <w:rPr>
          <w:sz w:val="28"/>
          <w:szCs w:val="28"/>
          <w:lang w:eastAsia="ru-RU"/>
        </w:rPr>
        <w:t xml:space="preserve">рахунок N UA753006470000026008001157955 в АБ «Кліринговий дім» </w:t>
      </w:r>
      <w:proofErr w:type="spellStart"/>
      <w:r w:rsidRPr="00660533">
        <w:rPr>
          <w:sz w:val="28"/>
          <w:szCs w:val="28"/>
          <w:lang w:eastAsia="ru-RU"/>
        </w:rPr>
        <w:t>м.Київ</w:t>
      </w:r>
      <w:proofErr w:type="spellEnd"/>
      <w:r w:rsidRPr="00660533">
        <w:rPr>
          <w:sz w:val="28"/>
          <w:szCs w:val="28"/>
          <w:lang w:eastAsia="ru-RU"/>
        </w:rPr>
        <w:t xml:space="preserve">, </w:t>
      </w:r>
    </w:p>
    <w:p w14:paraId="790D50F5" w14:textId="03DB98F5" w:rsidR="00660533" w:rsidRPr="00660533" w:rsidRDefault="00660533" w:rsidP="00660533">
      <w:pPr>
        <w:jc w:val="both"/>
        <w:rPr>
          <w:sz w:val="28"/>
          <w:szCs w:val="28"/>
          <w:lang w:eastAsia="ru-RU"/>
        </w:rPr>
      </w:pPr>
      <w:r w:rsidRPr="00660533">
        <w:rPr>
          <w:sz w:val="28"/>
          <w:szCs w:val="28"/>
          <w:lang w:eastAsia="ru-RU"/>
        </w:rPr>
        <w:t>МФО 300647</w:t>
      </w:r>
    </w:p>
    <w:p w14:paraId="4ED2F14A" w14:textId="0EE7D2AC" w:rsidR="00311DDF" w:rsidRPr="00F6791C" w:rsidRDefault="00660533" w:rsidP="00660533">
      <w:pPr>
        <w:jc w:val="both"/>
        <w:rPr>
          <w:sz w:val="28"/>
          <w:szCs w:val="28"/>
        </w:rPr>
      </w:pPr>
      <w:r w:rsidRPr="00660533">
        <w:rPr>
          <w:sz w:val="28"/>
          <w:szCs w:val="28"/>
          <w:lang w:eastAsia="ru-RU"/>
        </w:rPr>
        <w:t>ІПН 439658426557</w:t>
      </w:r>
    </w:p>
    <w:p w14:paraId="0D7F75EF" w14:textId="77777777" w:rsidR="00311DDF" w:rsidRPr="00311DDF" w:rsidRDefault="00311DDF" w:rsidP="00311DDF">
      <w:pPr>
        <w:rPr>
          <w:b/>
          <w:bCs/>
          <w:sz w:val="28"/>
          <w:szCs w:val="28"/>
        </w:rPr>
      </w:pPr>
    </w:p>
    <w:sectPr w:rsidR="00311DDF" w:rsidRPr="00311DDF" w:rsidSect="00256896">
      <w:headerReference w:type="even" r:id="rId9"/>
      <w:headerReference w:type="default" r:id="rId10"/>
      <w:pgSz w:w="11906" w:h="16838"/>
      <w:pgMar w:top="850" w:right="746" w:bottom="284"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70E4" w14:textId="77777777" w:rsidR="00FF3278" w:rsidRDefault="00FF3278">
      <w:r>
        <w:separator/>
      </w:r>
    </w:p>
  </w:endnote>
  <w:endnote w:type="continuationSeparator" w:id="0">
    <w:p w14:paraId="52F42C19" w14:textId="77777777" w:rsidR="00FF3278" w:rsidRDefault="00FF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Pro">
    <w:altName w:val="Calibri"/>
    <w:panose1 w:val="00000000000000000000"/>
    <w:charset w:val="00"/>
    <w:family w:val="swiss"/>
    <w:notTrueType/>
    <w:pitch w:val="variable"/>
    <w:sig w:usb0="A00002BF" w:usb1="4000207B" w:usb2="00000008" w:usb3="00000000" w:csb0="0000009F" w:csb1="00000000"/>
  </w:font>
  <w:font w:name="Calibri">
    <w:panose1 w:val="020F0502020204030204"/>
    <w:charset w:val="CC"/>
    <w:family w:val="swiss"/>
    <w:pitch w:val="variable"/>
    <w:sig w:usb0="E0002EFF" w:usb1="C000247B" w:usb2="00000009" w:usb3="00000000" w:csb0="000001FF" w:csb1="00000000"/>
  </w:font>
  <w:font w:name="Calibri (Основной текст)">
    <w:altName w:val="Calibri"/>
    <w:charset w:val="00"/>
    <w:family w:val="roman"/>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0154" w14:textId="77777777" w:rsidR="00FF3278" w:rsidRDefault="00FF3278">
      <w:r>
        <w:separator/>
      </w:r>
    </w:p>
  </w:footnote>
  <w:footnote w:type="continuationSeparator" w:id="0">
    <w:p w14:paraId="285DA334" w14:textId="77777777" w:rsidR="00FF3278" w:rsidRDefault="00FF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1281" w14:textId="77777777" w:rsidR="005E4F4B" w:rsidRDefault="00311DDF" w:rsidP="00360E0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3E89B7B" w14:textId="77777777" w:rsidR="005E4F4B" w:rsidRDefault="0066053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24D8" w14:textId="77777777" w:rsidR="005E4F4B" w:rsidRDefault="00311DDF" w:rsidP="00360E0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501F481C" w14:textId="77777777" w:rsidR="005E4F4B" w:rsidRDefault="0066053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57429"/>
    <w:multiLevelType w:val="multilevel"/>
    <w:tmpl w:val="09204FC6"/>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78072F"/>
    <w:multiLevelType w:val="hybridMultilevel"/>
    <w:tmpl w:val="ACCE09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6B57D59"/>
    <w:multiLevelType w:val="hybridMultilevel"/>
    <w:tmpl w:val="E586D33C"/>
    <w:lvl w:ilvl="0" w:tplc="0809000F">
      <w:start w:val="1"/>
      <w:numFmt w:val="decimal"/>
      <w:lvlText w:val="%1."/>
      <w:lvlJc w:val="left"/>
      <w:pPr>
        <w:ind w:left="720" w:hanging="360"/>
      </w:pPr>
      <w:rPr>
        <w:rFonts w:hint="default"/>
      </w:rPr>
    </w:lvl>
    <w:lvl w:ilvl="1" w:tplc="6F8CDF38">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C2968"/>
    <w:multiLevelType w:val="multilevel"/>
    <w:tmpl w:val="7ED4FE64"/>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A839FA"/>
    <w:multiLevelType w:val="multilevel"/>
    <w:tmpl w:val="B95C7A8A"/>
    <w:lvl w:ilvl="0">
      <w:start w:val="8"/>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1C26AB"/>
    <w:multiLevelType w:val="multilevel"/>
    <w:tmpl w:val="065653DC"/>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B3114"/>
    <w:multiLevelType w:val="multilevel"/>
    <w:tmpl w:val="4AAE692C"/>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47680B"/>
    <w:multiLevelType w:val="multilevel"/>
    <w:tmpl w:val="5A6A2ACC"/>
    <w:lvl w:ilvl="0">
      <w:start w:val="7"/>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4633B8"/>
    <w:multiLevelType w:val="hybridMultilevel"/>
    <w:tmpl w:val="FB1C247E"/>
    <w:lvl w:ilvl="0" w:tplc="8B3ACC4C">
      <w:start w:val="5"/>
      <w:numFmt w:val="bullet"/>
      <w:lvlText w:val="-"/>
      <w:lvlJc w:val="left"/>
      <w:pPr>
        <w:ind w:left="430" w:hanging="360"/>
      </w:pPr>
      <w:rPr>
        <w:rFonts w:ascii="Times New Roman" w:eastAsia="Times New Roman" w:hAnsi="Times New Roman" w:cs="Times New Roman" w:hint="default"/>
      </w:rPr>
    </w:lvl>
    <w:lvl w:ilvl="1" w:tplc="04220003" w:tentative="1">
      <w:start w:val="1"/>
      <w:numFmt w:val="bullet"/>
      <w:lvlText w:val="o"/>
      <w:lvlJc w:val="left"/>
      <w:pPr>
        <w:ind w:left="1150" w:hanging="360"/>
      </w:pPr>
      <w:rPr>
        <w:rFonts w:ascii="Courier New" w:hAnsi="Courier New" w:cs="Courier New" w:hint="default"/>
      </w:rPr>
    </w:lvl>
    <w:lvl w:ilvl="2" w:tplc="04220005" w:tentative="1">
      <w:start w:val="1"/>
      <w:numFmt w:val="bullet"/>
      <w:lvlText w:val=""/>
      <w:lvlJc w:val="left"/>
      <w:pPr>
        <w:ind w:left="1870" w:hanging="360"/>
      </w:pPr>
      <w:rPr>
        <w:rFonts w:ascii="Wingdings" w:hAnsi="Wingdings" w:hint="default"/>
      </w:rPr>
    </w:lvl>
    <w:lvl w:ilvl="3" w:tplc="04220001" w:tentative="1">
      <w:start w:val="1"/>
      <w:numFmt w:val="bullet"/>
      <w:lvlText w:val=""/>
      <w:lvlJc w:val="left"/>
      <w:pPr>
        <w:ind w:left="2590" w:hanging="360"/>
      </w:pPr>
      <w:rPr>
        <w:rFonts w:ascii="Symbol" w:hAnsi="Symbol" w:hint="default"/>
      </w:rPr>
    </w:lvl>
    <w:lvl w:ilvl="4" w:tplc="04220003" w:tentative="1">
      <w:start w:val="1"/>
      <w:numFmt w:val="bullet"/>
      <w:lvlText w:val="o"/>
      <w:lvlJc w:val="left"/>
      <w:pPr>
        <w:ind w:left="3310" w:hanging="360"/>
      </w:pPr>
      <w:rPr>
        <w:rFonts w:ascii="Courier New" w:hAnsi="Courier New" w:cs="Courier New" w:hint="default"/>
      </w:rPr>
    </w:lvl>
    <w:lvl w:ilvl="5" w:tplc="04220005" w:tentative="1">
      <w:start w:val="1"/>
      <w:numFmt w:val="bullet"/>
      <w:lvlText w:val=""/>
      <w:lvlJc w:val="left"/>
      <w:pPr>
        <w:ind w:left="4030" w:hanging="360"/>
      </w:pPr>
      <w:rPr>
        <w:rFonts w:ascii="Wingdings" w:hAnsi="Wingdings" w:hint="default"/>
      </w:rPr>
    </w:lvl>
    <w:lvl w:ilvl="6" w:tplc="04220001" w:tentative="1">
      <w:start w:val="1"/>
      <w:numFmt w:val="bullet"/>
      <w:lvlText w:val=""/>
      <w:lvlJc w:val="left"/>
      <w:pPr>
        <w:ind w:left="4750" w:hanging="360"/>
      </w:pPr>
      <w:rPr>
        <w:rFonts w:ascii="Symbol" w:hAnsi="Symbol" w:hint="default"/>
      </w:rPr>
    </w:lvl>
    <w:lvl w:ilvl="7" w:tplc="04220003" w:tentative="1">
      <w:start w:val="1"/>
      <w:numFmt w:val="bullet"/>
      <w:lvlText w:val="o"/>
      <w:lvlJc w:val="left"/>
      <w:pPr>
        <w:ind w:left="5470" w:hanging="360"/>
      </w:pPr>
      <w:rPr>
        <w:rFonts w:ascii="Courier New" w:hAnsi="Courier New" w:cs="Courier New" w:hint="default"/>
      </w:rPr>
    </w:lvl>
    <w:lvl w:ilvl="8" w:tplc="04220005" w:tentative="1">
      <w:start w:val="1"/>
      <w:numFmt w:val="bullet"/>
      <w:lvlText w:val=""/>
      <w:lvlJc w:val="left"/>
      <w:pPr>
        <w:ind w:left="6190" w:hanging="360"/>
      </w:pPr>
      <w:rPr>
        <w:rFonts w:ascii="Wingdings" w:hAnsi="Wingdings" w:hint="default"/>
      </w:rPr>
    </w:lvl>
  </w:abstractNum>
  <w:abstractNum w:abstractNumId="9" w15:restartNumberingAfterBreak="0">
    <w:nsid w:val="7AC4109B"/>
    <w:multiLevelType w:val="multilevel"/>
    <w:tmpl w:val="9D52CE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num>
  <w:num w:numId="4">
    <w:abstractNumId w:val="5"/>
  </w:num>
  <w:num w:numId="5">
    <w:abstractNumId w:val="1"/>
  </w:num>
  <w:num w:numId="6">
    <w:abstractNumId w:val="6"/>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DF"/>
    <w:rsid w:val="00065D03"/>
    <w:rsid w:val="00092DAC"/>
    <w:rsid w:val="00097F67"/>
    <w:rsid w:val="000C40E2"/>
    <w:rsid w:val="00122C4B"/>
    <w:rsid w:val="001A24FF"/>
    <w:rsid w:val="001A70A9"/>
    <w:rsid w:val="00311DDF"/>
    <w:rsid w:val="00393703"/>
    <w:rsid w:val="00446F03"/>
    <w:rsid w:val="004B78AE"/>
    <w:rsid w:val="00563956"/>
    <w:rsid w:val="00646D9F"/>
    <w:rsid w:val="00660533"/>
    <w:rsid w:val="00764D4D"/>
    <w:rsid w:val="007C608C"/>
    <w:rsid w:val="007D321C"/>
    <w:rsid w:val="0081069E"/>
    <w:rsid w:val="008E7736"/>
    <w:rsid w:val="00A439C9"/>
    <w:rsid w:val="00A96079"/>
    <w:rsid w:val="00AC0DFF"/>
    <w:rsid w:val="00B26593"/>
    <w:rsid w:val="00B7442B"/>
    <w:rsid w:val="00BB0BD4"/>
    <w:rsid w:val="00D84316"/>
    <w:rsid w:val="00F87F12"/>
    <w:rsid w:val="00FB46B8"/>
    <w:rsid w:val="00FC1161"/>
    <w:rsid w:val="00FF3278"/>
    <w:rsid w:val="00FF4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4788"/>
  <w14:defaultImageDpi w14:val="32767"/>
  <w15:chartTrackingRefBased/>
  <w15:docId w15:val="{8E039CB9-FF16-7B46-B584-4F07AC41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Pro" w:eastAsiaTheme="minorHAnsi" w:hAnsi="DIN Pro" w:cs="Calibri (Основной текст)"/>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311DDF"/>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fm89794637">
    <w:name w:val="xfm_89794637"/>
    <w:basedOn w:val="a0"/>
    <w:rsid w:val="00311DDF"/>
  </w:style>
  <w:style w:type="paragraph" w:styleId="a3">
    <w:name w:val="Balloon Text"/>
    <w:basedOn w:val="a"/>
    <w:link w:val="a4"/>
    <w:rsid w:val="00311DDF"/>
    <w:rPr>
      <w:rFonts w:ascii="Tahoma" w:hAnsi="Tahoma"/>
      <w:sz w:val="16"/>
      <w:szCs w:val="16"/>
    </w:rPr>
  </w:style>
  <w:style w:type="character" w:customStyle="1" w:styleId="a4">
    <w:name w:val="Текст выноски Знак"/>
    <w:basedOn w:val="a0"/>
    <w:link w:val="a3"/>
    <w:rsid w:val="00311DDF"/>
    <w:rPr>
      <w:rFonts w:ascii="Tahoma" w:eastAsia="Times New Roman" w:hAnsi="Tahoma" w:cs="Times New Roman"/>
      <w:sz w:val="16"/>
      <w:szCs w:val="16"/>
      <w:lang w:val="uk-UA" w:eastAsia="uk-UA"/>
    </w:rPr>
  </w:style>
  <w:style w:type="paragraph" w:customStyle="1" w:styleId="1">
    <w:name w:val="Абзац списка1"/>
    <w:basedOn w:val="a"/>
    <w:link w:val="a5"/>
    <w:uiPriority w:val="34"/>
    <w:qFormat/>
    <w:rsid w:val="00311DDF"/>
    <w:pPr>
      <w:spacing w:after="200" w:line="276" w:lineRule="auto"/>
      <w:ind w:left="720"/>
      <w:contextualSpacing/>
      <w:jc w:val="both"/>
    </w:pPr>
    <w:rPr>
      <w:rFonts w:ascii="Calibri" w:eastAsia="Calibri" w:hAnsi="Calibri"/>
      <w:sz w:val="22"/>
      <w:szCs w:val="22"/>
      <w:lang w:val="en-US" w:eastAsia="en-US"/>
    </w:rPr>
  </w:style>
  <w:style w:type="character" w:customStyle="1" w:styleId="a5">
    <w:name w:val="Абзац списка Знак"/>
    <w:link w:val="1"/>
    <w:uiPriority w:val="34"/>
    <w:locked/>
    <w:rsid w:val="00311DDF"/>
    <w:rPr>
      <w:rFonts w:ascii="Calibri" w:eastAsia="Calibri" w:hAnsi="Calibri" w:cs="Times New Roman"/>
      <w:lang w:val="en-US"/>
    </w:rPr>
  </w:style>
  <w:style w:type="table" w:styleId="a6">
    <w:name w:val="Table Grid"/>
    <w:basedOn w:val="a1"/>
    <w:uiPriority w:val="59"/>
    <w:rsid w:val="00311DDF"/>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basedOn w:val="a"/>
    <w:next w:val="a8"/>
    <w:uiPriority w:val="99"/>
    <w:unhideWhenUsed/>
    <w:rsid w:val="00311DDF"/>
    <w:pPr>
      <w:spacing w:before="100" w:beforeAutospacing="1" w:after="100" w:afterAutospacing="1"/>
    </w:pPr>
    <w:rPr>
      <w:lang w:val="ru-RU" w:eastAsia="ru-RU"/>
    </w:rPr>
  </w:style>
  <w:style w:type="paragraph" w:styleId="a9">
    <w:name w:val="header"/>
    <w:basedOn w:val="a"/>
    <w:link w:val="aa"/>
    <w:rsid w:val="00311DDF"/>
    <w:pPr>
      <w:tabs>
        <w:tab w:val="center" w:pos="4677"/>
        <w:tab w:val="right" w:pos="9355"/>
      </w:tabs>
    </w:pPr>
  </w:style>
  <w:style w:type="character" w:customStyle="1" w:styleId="aa">
    <w:name w:val="Верхний колонтитул Знак"/>
    <w:basedOn w:val="a0"/>
    <w:link w:val="a9"/>
    <w:rsid w:val="00311DDF"/>
    <w:rPr>
      <w:rFonts w:ascii="Times New Roman" w:eastAsia="Times New Roman" w:hAnsi="Times New Roman" w:cs="Times New Roman"/>
      <w:sz w:val="24"/>
      <w:szCs w:val="24"/>
      <w:lang w:val="uk-UA" w:eastAsia="uk-UA"/>
    </w:rPr>
  </w:style>
  <w:style w:type="character" w:styleId="ab">
    <w:name w:val="page number"/>
    <w:basedOn w:val="a0"/>
    <w:rsid w:val="00311DDF"/>
  </w:style>
  <w:style w:type="paragraph" w:customStyle="1" w:styleId="ac">
    <w:name w:val="Знак Знак Знак"/>
    <w:basedOn w:val="a"/>
    <w:rsid w:val="00311DDF"/>
    <w:rPr>
      <w:rFonts w:ascii="Verdana" w:hAnsi="Verdana" w:cs="Verdana"/>
      <w:sz w:val="20"/>
      <w:szCs w:val="20"/>
      <w:lang w:val="en-US" w:eastAsia="en-US"/>
    </w:rPr>
  </w:style>
  <w:style w:type="character" w:customStyle="1" w:styleId="st121">
    <w:name w:val="st121"/>
    <w:uiPriority w:val="99"/>
    <w:rsid w:val="00311DDF"/>
    <w:rPr>
      <w:i/>
      <w:iCs/>
      <w:color w:val="000000"/>
    </w:rPr>
  </w:style>
  <w:style w:type="character" w:customStyle="1" w:styleId="st131">
    <w:name w:val="st131"/>
    <w:uiPriority w:val="99"/>
    <w:rsid w:val="00311DDF"/>
    <w:rPr>
      <w:i/>
      <w:iCs/>
      <w:color w:val="0000FF"/>
    </w:rPr>
  </w:style>
  <w:style w:type="character" w:customStyle="1" w:styleId="st46">
    <w:name w:val="st46"/>
    <w:uiPriority w:val="99"/>
    <w:rsid w:val="00311DDF"/>
    <w:rPr>
      <w:i/>
      <w:iCs/>
      <w:color w:val="000000"/>
    </w:rPr>
  </w:style>
  <w:style w:type="paragraph" w:customStyle="1" w:styleId="st2">
    <w:name w:val="st2"/>
    <w:uiPriority w:val="99"/>
    <w:rsid w:val="00311DDF"/>
    <w:pPr>
      <w:autoSpaceDE w:val="0"/>
      <w:autoSpaceDN w:val="0"/>
      <w:adjustRightInd w:val="0"/>
      <w:spacing w:after="150"/>
      <w:ind w:firstLine="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311DDF"/>
    <w:pPr>
      <w:autoSpaceDE w:val="0"/>
      <w:autoSpaceDN w:val="0"/>
      <w:adjustRightInd w:val="0"/>
      <w:spacing w:before="150" w:after="150"/>
      <w:jc w:val="center"/>
    </w:pPr>
    <w:rPr>
      <w:rFonts w:ascii="Times New Roman" w:eastAsia="Times New Roman" w:hAnsi="Times New Roman" w:cs="Times New Roman"/>
      <w:sz w:val="24"/>
      <w:szCs w:val="24"/>
      <w:lang w:val="uk-UA" w:eastAsia="uk-UA"/>
    </w:rPr>
  </w:style>
  <w:style w:type="character" w:customStyle="1" w:styleId="st42">
    <w:name w:val="st42"/>
    <w:uiPriority w:val="99"/>
    <w:rsid w:val="00311DDF"/>
    <w:rPr>
      <w:color w:val="000000"/>
    </w:rPr>
  </w:style>
  <w:style w:type="character" w:customStyle="1" w:styleId="st82">
    <w:name w:val="st82"/>
    <w:uiPriority w:val="99"/>
    <w:rsid w:val="00311DDF"/>
    <w:rPr>
      <w:color w:val="000000"/>
      <w:sz w:val="20"/>
      <w:szCs w:val="20"/>
    </w:rPr>
  </w:style>
  <w:style w:type="character" w:styleId="ad">
    <w:name w:val="Strong"/>
    <w:uiPriority w:val="22"/>
    <w:qFormat/>
    <w:rsid w:val="00311DDF"/>
    <w:rPr>
      <w:b/>
      <w:bCs/>
    </w:rPr>
  </w:style>
  <w:style w:type="character" w:styleId="ae">
    <w:name w:val="Emphasis"/>
    <w:uiPriority w:val="20"/>
    <w:qFormat/>
    <w:rsid w:val="00311DDF"/>
    <w:rPr>
      <w:i/>
      <w:iCs/>
    </w:rPr>
  </w:style>
  <w:style w:type="character" w:styleId="af">
    <w:name w:val="annotation reference"/>
    <w:rsid w:val="00311DDF"/>
    <w:rPr>
      <w:sz w:val="16"/>
      <w:szCs w:val="16"/>
    </w:rPr>
  </w:style>
  <w:style w:type="paragraph" w:styleId="af0">
    <w:name w:val="annotation text"/>
    <w:basedOn w:val="a"/>
    <w:link w:val="af1"/>
    <w:rsid w:val="00311DDF"/>
    <w:rPr>
      <w:sz w:val="20"/>
      <w:szCs w:val="20"/>
    </w:rPr>
  </w:style>
  <w:style w:type="character" w:customStyle="1" w:styleId="af1">
    <w:name w:val="Текст примечания Знак"/>
    <w:basedOn w:val="a0"/>
    <w:link w:val="af0"/>
    <w:rsid w:val="00311DDF"/>
    <w:rPr>
      <w:rFonts w:ascii="Times New Roman" w:eastAsia="Times New Roman" w:hAnsi="Times New Roman" w:cs="Times New Roman"/>
      <w:sz w:val="20"/>
      <w:szCs w:val="20"/>
      <w:lang w:val="uk-UA" w:eastAsia="uk-UA"/>
    </w:rPr>
  </w:style>
  <w:style w:type="paragraph" w:styleId="af2">
    <w:name w:val="annotation subject"/>
    <w:basedOn w:val="af0"/>
    <w:next w:val="af0"/>
    <w:link w:val="af3"/>
    <w:rsid w:val="00311DDF"/>
    <w:rPr>
      <w:b/>
      <w:bCs/>
    </w:rPr>
  </w:style>
  <w:style w:type="character" w:customStyle="1" w:styleId="af3">
    <w:name w:val="Тема примечания Знак"/>
    <w:basedOn w:val="af1"/>
    <w:link w:val="af2"/>
    <w:rsid w:val="00311DDF"/>
    <w:rPr>
      <w:rFonts w:ascii="Times New Roman" w:eastAsia="Times New Roman" w:hAnsi="Times New Roman" w:cs="Times New Roman"/>
      <w:b/>
      <w:bCs/>
      <w:sz w:val="20"/>
      <w:szCs w:val="20"/>
      <w:lang w:val="uk-UA" w:eastAsia="uk-UA"/>
    </w:rPr>
  </w:style>
  <w:style w:type="paragraph" w:styleId="a8">
    <w:name w:val="Normal (Web)"/>
    <w:basedOn w:val="a"/>
    <w:uiPriority w:val="99"/>
    <w:semiHidden/>
    <w:unhideWhenUsed/>
    <w:rsid w:val="00311DDF"/>
  </w:style>
  <w:style w:type="character" w:styleId="af4">
    <w:name w:val="Hyperlink"/>
    <w:basedOn w:val="a0"/>
    <w:uiPriority w:val="99"/>
    <w:unhideWhenUsed/>
    <w:rsid w:val="00D84316"/>
    <w:rPr>
      <w:color w:val="0563C1" w:themeColor="hyperlink"/>
      <w:u w:val="single"/>
    </w:rPr>
  </w:style>
  <w:style w:type="character" w:styleId="af5">
    <w:name w:val="Unresolved Mention"/>
    <w:basedOn w:val="a0"/>
    <w:uiPriority w:val="99"/>
    <w:rsid w:val="00D84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gaszbut.com.ua/" TargetMode="External"/><Relationship Id="rId3" Type="http://schemas.openxmlformats.org/officeDocument/2006/relationships/settings" Target="settings.xml"/><Relationship Id="rId7" Type="http://schemas.openxmlformats.org/officeDocument/2006/relationships/hyperlink" Target="https://tg.gaszbut.com.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Кам</dc:creator>
  <cp:keywords/>
  <dc:description/>
  <cp:lastModifiedBy>Лященко Вікторія Валентинівна</cp:lastModifiedBy>
  <cp:revision>4</cp:revision>
  <dcterms:created xsi:type="dcterms:W3CDTF">2021-04-24T20:07:00Z</dcterms:created>
  <dcterms:modified xsi:type="dcterms:W3CDTF">2021-05-11T15:23:00Z</dcterms:modified>
</cp:coreProperties>
</file>